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003</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bookmarkStart w:id="8" w:name="_GoBack"/>
      <w:bookmarkEnd w:id="8"/>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（二）地块位置：惠城区水口青塘湖片区JD-117-15、JD-117-08-01地块；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（三）地块编号：JD-117-15、JD-117-08-01；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w:t>
      </w:r>
      <w:r>
        <w:rPr>
          <w:rFonts w:hint="eastAsia" w:ascii="仿宋_GB2312" w:hAnsi="宋体" w:eastAsia="仿宋_GB2312" w:cs="宋体"/>
          <w:color w:val="auto"/>
          <w:kern w:val="0"/>
          <w:sz w:val="32"/>
          <w:szCs w:val="32"/>
          <w:highlight w:val="none"/>
          <w:shd w:val="clear" w:color="auto" w:fill="auto"/>
        </w:rPr>
        <w:t>平面界址点以宗地图为准，宗地竖向界限以《</w:t>
      </w:r>
      <w:r>
        <w:rPr>
          <w:rFonts w:hint="eastAsia" w:ascii="仿宋_GB2312" w:hAnsi="宋体" w:eastAsia="仿宋_GB2312" w:cs="宋体"/>
          <w:color w:val="auto"/>
          <w:kern w:val="0"/>
          <w:sz w:val="32"/>
          <w:szCs w:val="32"/>
          <w:highlight w:val="none"/>
          <w:shd w:val="clear" w:color="auto" w:fill="auto"/>
          <w:lang w:val="en-US" w:eastAsia="zh-CN"/>
        </w:rPr>
        <w:t>建设用地规划设计条件</w:t>
      </w:r>
      <w:r>
        <w:rPr>
          <w:rFonts w:hint="eastAsia" w:ascii="仿宋_GB2312" w:hAnsi="宋体" w:eastAsia="仿宋_GB2312" w:cs="宋体"/>
          <w:color w:val="auto"/>
          <w:kern w:val="0"/>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10047</w:t>
      </w:r>
      <w:r>
        <w:rPr>
          <w:rFonts w:hint="eastAsia" w:ascii="仿宋_GB2312" w:hAnsi="宋体" w:eastAsia="仿宋_GB2312" w:cs="宋体"/>
          <w:color w:val="auto"/>
          <w:kern w:val="0"/>
          <w:sz w:val="32"/>
          <w:szCs w:val="32"/>
          <w:highlight w:val="none"/>
          <w:shd w:val="clear" w:color="auto" w:fill="auto"/>
          <w:lang w:val="en-US" w:eastAsia="zh-CN"/>
        </w:rPr>
        <w:t>号</w:t>
      </w:r>
      <w:r>
        <w:rPr>
          <w:rFonts w:hint="eastAsia" w:ascii="仿宋_GB2312" w:hAnsi="宋体" w:eastAsia="仿宋_GB2312" w:cs="宋体"/>
          <w:color w:val="auto"/>
          <w:kern w:val="0"/>
          <w:sz w:val="32"/>
          <w:szCs w:val="32"/>
          <w:highlight w:val="none"/>
          <w:shd w:val="clear" w:color="auto" w:fill="auto"/>
        </w:rPr>
        <w:t>）规定为准</w:t>
      </w:r>
      <w:r>
        <w:rPr>
          <w:rFonts w:hint="eastAsia" w:ascii="仿宋_GB2312" w:hAnsi="仿宋_GB2312" w:eastAsia="仿宋_GB2312" w:cs="仿宋_GB2312"/>
          <w:sz w:val="32"/>
          <w:szCs w:val="32"/>
          <w:highlight w:val="none"/>
          <w:shd w:val="clear" w:color="auto" w:fill="auto"/>
        </w:rPr>
        <w:t>；</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宗地使用权面积为：JD-117-15：15060.72平方米、JD-117-08-01：1790.26平方米；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（六）计算指标用地面积为：JD-117-15：21096平方米、JD-117-08-01：4884平方米；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（七）计容积率建筑面积：D-117-15：42192-63288平方米（其中配套设施面积≥100平方米）、JD-117-08-01：9768-14652平方米（其中配套设施面积≥65平方米）；</w:t>
      </w:r>
    </w:p>
    <w:p>
      <w:pPr>
        <w:shd w:val="clear"/>
        <w:tabs>
          <w:tab w:val="left" w:pos="840"/>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（八）容积率为：2.0-3.0%；</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）土地用途为：</w:t>
      </w:r>
      <w:r>
        <w:rPr>
          <w:rFonts w:hint="eastAsia" w:ascii="仿宋_GB2312" w:hAnsi="仿宋_GB2312" w:eastAsia="仿宋_GB2312" w:cs="仿宋_GB2312"/>
          <w:sz w:val="32"/>
          <w:szCs w:val="32"/>
          <w:highlight w:val="none"/>
          <w:shd w:val="clear" w:color="auto" w:fill="auto"/>
          <w:lang w:val="en-US" w:eastAsia="zh-CN"/>
        </w:rPr>
        <w:t>一类工业用地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）土地使用权出让年</w:t>
      </w:r>
      <w:r>
        <w:rPr>
          <w:rFonts w:hint="eastAsia" w:ascii="仿宋_GB2312" w:hAnsi="仿宋_GB2312" w:eastAsia="仿宋_GB2312" w:cs="仿宋_GB2312"/>
          <w:sz w:val="32"/>
          <w:szCs w:val="32"/>
          <w:highlight w:val="none"/>
          <w:shd w:val="clear" w:color="auto" w:fill="auto"/>
          <w:lang w:val="en-US" w:eastAsia="zh-CN"/>
        </w:rPr>
        <w:t>限</w:t>
      </w:r>
      <w:r>
        <w:rPr>
          <w:rFonts w:hint="eastAsia" w:ascii="仿宋_GB2312" w:hAnsi="仿宋_GB2312" w:eastAsia="仿宋_GB2312" w:cs="仿宋_GB2312"/>
          <w:sz w:val="32"/>
          <w:szCs w:val="32"/>
          <w:highlight w:val="none"/>
          <w:shd w:val="clear" w:color="auto" w:fill="auto"/>
        </w:rPr>
        <w:t>为：</w:t>
      </w:r>
      <w:r>
        <w:rPr>
          <w:rFonts w:hint="eastAsia" w:ascii="仿宋_GB2312" w:hAnsi="仿宋_GB2312" w:eastAsia="仿宋_GB2312" w:cs="仿宋_GB2312"/>
          <w:sz w:val="32"/>
          <w:szCs w:val="32"/>
          <w:highlight w:val="none"/>
          <w:shd w:val="clear" w:color="auto" w:fill="auto"/>
          <w:lang w:val="en-US" w:eastAsia="zh-CN"/>
        </w:rPr>
        <w:t>50年</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产业类型</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电气机械及器材制造业用地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 动工及竣工时间：</w:t>
      </w:r>
      <w:r>
        <w:rPr>
          <w:rFonts w:hint="eastAsia" w:ascii="仿宋_GB2312" w:hAnsi="宋体" w:eastAsia="仿宋_GB2312" w:cs="宋体"/>
          <w:color w:val="auto"/>
          <w:kern w:val="0"/>
          <w:sz w:val="32"/>
          <w:szCs w:val="32"/>
          <w:highlight w:val="none"/>
          <w:shd w:val="clear" w:color="auto" w:fill="auto"/>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Times New Roman" w:hAnsi="Times New Roman" w:eastAsia="仿宋_GB2312"/>
          <w:sz w:val="30"/>
          <w:szCs w:val="30"/>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 xml:space="preserve">）本地块交付时间为《国有土地使用权出让合同》签订之日。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highlight w:val="none"/>
          <w:shd w:val="clear" w:color="auto" w:fill="auto"/>
          <w:lang w:val="en-US" w:eastAsia="zh-CN"/>
        </w:rPr>
        <w:t>35078万元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（三）竞得人在用地红线内开发建设必须符合城市规划要求，必须按</w:t>
      </w:r>
      <w:r>
        <w:rPr>
          <w:rFonts w:hint="eastAsia" w:ascii="仿宋_GB2312" w:hAnsi="宋体" w:eastAsia="仿宋_GB2312" w:cs="宋体"/>
          <w:color w:val="auto"/>
          <w:kern w:val="0"/>
          <w:sz w:val="32"/>
          <w:szCs w:val="32"/>
          <w:highlight w:val="none"/>
          <w:shd w:val="clear" w:color="auto" w:fill="auto"/>
          <w:lang w:eastAsia="zh-CN"/>
        </w:rPr>
        <w:t>项目规划建设方案</w:t>
      </w:r>
      <w:r>
        <w:rPr>
          <w:rFonts w:hint="eastAsia" w:ascii="仿宋_GB2312" w:hAnsi="仿宋_GB2312" w:eastAsia="仿宋_GB2312" w:cs="仿宋_GB2312"/>
          <w:sz w:val="32"/>
          <w:szCs w:val="32"/>
          <w:highlight w:val="none"/>
          <w:shd w:val="clear" w:color="auto" w:fill="auto"/>
          <w:lang w:eastAsia="zh-CN"/>
        </w:rPr>
        <w:t>的要求进行规划设计。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（四）项目规划建设方案</w:t>
      </w:r>
    </w:p>
    <w:p>
      <w:pPr>
        <w:pStyle w:val="2"/>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highlight w:val="none"/>
          <w:shd w:val="clear" w:color="auto" w:fill="auto"/>
          <w:lang w:val="en-US" w:eastAsia="zh-CN"/>
        </w:rPr>
      </w:pPr>
      <w:r>
        <w:rPr>
          <w:rFonts w:hint="eastAsia" w:ascii="仿宋_GB2312" w:hAnsi="仿宋_GB2312" w:eastAsia="仿宋_GB2312" w:cs="仿宋_GB2312"/>
          <w:b w:val="0"/>
          <w:bCs w:val="0"/>
          <w:color w:val="000000"/>
          <w:kern w:val="0"/>
          <w:sz w:val="32"/>
          <w:szCs w:val="32"/>
          <w:highlight w:val="none"/>
          <w:shd w:val="clear" w:color="auto" w:fill="auto"/>
          <w:lang w:val="en-US" w:eastAsia="zh-CN"/>
        </w:rPr>
        <w:t>所报总平面图的主要技术经济指标：规划布局2栋厂房，建筑层数地上最高6层，地下1层，计算指标用地面积25980平方米，计容积率总建筑面积50747.25平方米，容积率2.41，建筑系数38.11%，绿地率15%，机动车停车位250个（全为地下）。各项指标满足《建设用地规划设计条件》（PB20210047号)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pStyle w:val="2"/>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13502元/平方米，土地产出率（工业产值）不低于23628元/平方米/年，税收产出不低于1168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rPr>
          <w:rFonts w:hint="default"/>
          <w:lang w:val="en-US"/>
        </w:rPr>
      </w:pPr>
      <w:r>
        <w:rPr>
          <w:rFonts w:hint="eastAsia" w:ascii="仿宋_GB2312" w:hAnsi="仿宋_GB2312" w:eastAsia="仿宋_GB2312" w:cs="仿宋_GB2312"/>
          <w:b w:val="0"/>
          <w:bCs w:val="0"/>
          <w:color w:val="000000"/>
          <w:kern w:val="0"/>
          <w:sz w:val="32"/>
          <w:szCs w:val="32"/>
          <w:lang w:val="en-US" w:eastAsia="zh-CN"/>
        </w:rPr>
        <w:t xml:space="preserve"> 竞得人需与惠州市惠城区高新科技产业园管理委员会签订《项目实施监管协议书》并完成监管协议公证手续。</w:t>
      </w:r>
    </w:p>
    <w:p>
      <w:pPr>
        <w:keepNext w:val="0"/>
        <w:keepLines w:val="0"/>
        <w:pageBreakBefore w:val="0"/>
        <w:widowControl w:val="0"/>
        <w:numPr>
          <w:ilvl w:val="0"/>
          <w:numId w:val="1"/>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竞得人在签订《成交确认书》前，须与</w:t>
      </w:r>
      <w:r>
        <w:rPr>
          <w:rFonts w:hint="eastAsia" w:ascii="仿宋_GB2312" w:hAnsi="宋体" w:eastAsia="仿宋_GB2312" w:cs="宋体"/>
          <w:color w:val="auto"/>
          <w:kern w:val="0"/>
          <w:sz w:val="32"/>
          <w:szCs w:val="32"/>
          <w:highlight w:val="none"/>
          <w:shd w:val="clear" w:color="auto" w:fill="auto"/>
          <w:lang w:val="en-US" w:eastAsia="zh-CN"/>
        </w:rPr>
        <w:t>惠城区高新科技产业园管委会</w:t>
      </w:r>
      <w:r>
        <w:rPr>
          <w:rFonts w:hint="eastAsia" w:ascii="仿宋_GB2312" w:hAnsi="宋体" w:eastAsia="仿宋_GB2312" w:cs="宋体"/>
          <w:color w:val="auto"/>
          <w:kern w:val="0"/>
          <w:sz w:val="32"/>
          <w:szCs w:val="32"/>
          <w:highlight w:val="none"/>
          <w:shd w:val="clear" w:color="auto" w:fill="auto"/>
        </w:rPr>
        <w:t>签订《项目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监管协议书》，并由</w:t>
      </w:r>
      <w:r>
        <w:rPr>
          <w:rFonts w:hint="eastAsia" w:ascii="仿宋_GB2312" w:hAnsi="宋体" w:eastAsia="仿宋_GB2312" w:cs="宋体"/>
          <w:color w:val="auto"/>
          <w:kern w:val="0"/>
          <w:sz w:val="32"/>
          <w:szCs w:val="32"/>
          <w:highlight w:val="none"/>
          <w:shd w:val="clear" w:color="auto" w:fill="auto"/>
          <w:lang w:val="en-US" w:eastAsia="zh-CN"/>
        </w:rPr>
        <w:t>惠城区高新科技产业园管委会</w:t>
      </w:r>
      <w:r>
        <w:rPr>
          <w:rFonts w:hint="eastAsia" w:ascii="仿宋_GB2312" w:hAnsi="宋体" w:eastAsia="仿宋_GB2312" w:cs="宋体"/>
          <w:color w:val="auto"/>
          <w:kern w:val="0"/>
          <w:sz w:val="32"/>
          <w:szCs w:val="32"/>
          <w:highlight w:val="none"/>
          <w:shd w:val="clear" w:color="auto" w:fill="auto"/>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774</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（二）竞买人须提交惠城区发改局出具的与该宗地块规划确定的产业类型一致的优先发展产业项目文件。</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1、存在伪造公文骗取用地和非法倒卖土地等犯罪行为的；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2、存在非法转让土地使用权等违法行为的；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3、因企业原因造成土地闲置一年以上且至报名日止未处罚完结的；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4、开发建设企业有违背出让合同约定条件开发利用土地情形且至报名日止未处罚完结的；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贰仟伍佰捌拾</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2580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PB20210047号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柒佰柒拾肆万元</w:t>
      </w:r>
      <w:r>
        <w:rPr>
          <w:rFonts w:hint="eastAsia" w:ascii="仿宋_GB2312" w:hAnsi="仿宋_GB2312" w:eastAsia="仿宋_GB2312" w:cs="仿宋_GB2312"/>
          <w:color w:val="auto"/>
          <w:sz w:val="32"/>
          <w:szCs w:val="32"/>
          <w:highlight w:val="none"/>
          <w:u w:val="single"/>
          <w:shd w:val="clear" w:color="auto" w:fill="auto"/>
        </w:rPr>
        <w:t>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774</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提交惠城区发改局出具的与该宗地块规划确定的产业类型一致的优先发展产业项目文件。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即新公司的股东必须100%是竞买申请企业作为法人的股东</w:t>
      </w:r>
      <w:r>
        <w:rPr>
          <w:rFonts w:hint="eastAsia" w:ascii="仿宋_GB2312" w:hAnsi="仿宋_GB2312" w:eastAsia="仿宋_GB2312" w:cs="仿宋_GB2312"/>
          <w:sz w:val="32"/>
          <w:szCs w:val="32"/>
          <w:highlight w:val="none"/>
          <w:shd w:val="clear" w:color="auto" w:fill="auto"/>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2022年月日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E4BB1"/>
    <w:multiLevelType w:val="singleLevel"/>
    <w:tmpl w:val="F8BE4B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5D58C0"/>
    <w:rsid w:val="06E22DF8"/>
    <w:rsid w:val="071F73B3"/>
    <w:rsid w:val="077D5D24"/>
    <w:rsid w:val="07F629A0"/>
    <w:rsid w:val="091E26EA"/>
    <w:rsid w:val="09317644"/>
    <w:rsid w:val="0A771CCA"/>
    <w:rsid w:val="0A812477"/>
    <w:rsid w:val="0B1406EF"/>
    <w:rsid w:val="0C40433F"/>
    <w:rsid w:val="0C8642BF"/>
    <w:rsid w:val="0DCB3B54"/>
    <w:rsid w:val="0FB217AF"/>
    <w:rsid w:val="0FB2799E"/>
    <w:rsid w:val="10152918"/>
    <w:rsid w:val="105A2768"/>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8220C10"/>
    <w:rsid w:val="1960257D"/>
    <w:rsid w:val="19D941D6"/>
    <w:rsid w:val="1C431BA6"/>
    <w:rsid w:val="1CB6407B"/>
    <w:rsid w:val="1D717DCD"/>
    <w:rsid w:val="1DE56E00"/>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A33367"/>
    <w:rsid w:val="33CE0AAA"/>
    <w:rsid w:val="34B40523"/>
    <w:rsid w:val="34C41D04"/>
    <w:rsid w:val="34CD617E"/>
    <w:rsid w:val="360B04FE"/>
    <w:rsid w:val="378C6660"/>
    <w:rsid w:val="37FB7A76"/>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21630A4"/>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927D39"/>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E44F5D"/>
    <w:rsid w:val="7B3065F7"/>
    <w:rsid w:val="7B4F2E9A"/>
    <w:rsid w:val="7B8363CD"/>
    <w:rsid w:val="7D5207DE"/>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39</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2022-01-17T08:06:39Z</cp:lastPrinted>
  <dcterms:modified xsi:type="dcterms:W3CDTF">2022-01-17T08:07:10Z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